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0348ED" w:rsidRPr="004008D0" w14:paraId="1581483E" w14:textId="77777777" w:rsidTr="00050DA7">
        <w:tc>
          <w:tcPr>
            <w:tcW w:w="4428" w:type="dxa"/>
          </w:tcPr>
          <w:p w14:paraId="41DDE369" w14:textId="5E9AC7A4" w:rsidR="000348ED" w:rsidRPr="00AA2626" w:rsidRDefault="005D05AC" w:rsidP="002B0236">
            <w:r w:rsidRPr="00AA2626">
              <w:t>From:</w:t>
            </w:r>
            <w:r w:rsidRPr="00AA2626">
              <w:tab/>
            </w:r>
            <w:r w:rsidR="00513793">
              <w:t>DTEC</w:t>
            </w:r>
            <w:r w:rsidR="00AC1F4D">
              <w:t xml:space="preserve"> Committee</w:t>
            </w:r>
          </w:p>
        </w:tc>
        <w:tc>
          <w:tcPr>
            <w:tcW w:w="5461" w:type="dxa"/>
          </w:tcPr>
          <w:p w14:paraId="20241D9A" w14:textId="5E255F38" w:rsidR="00044185" w:rsidRDefault="00044185" w:rsidP="008F4DC3">
            <w:pPr>
              <w:jc w:val="right"/>
            </w:pPr>
            <w:r>
              <w:t>PAP60-3.2.1</w:t>
            </w:r>
          </w:p>
          <w:p w14:paraId="7869FFA5" w14:textId="30F33700" w:rsidR="000348ED" w:rsidRPr="004008D0" w:rsidRDefault="00044185" w:rsidP="00044185">
            <w:pPr>
              <w:jc w:val="right"/>
            </w:pPr>
            <w:r>
              <w:t>(</w:t>
            </w:r>
            <w:r w:rsidR="003A34AE">
              <w:t>DTEC5-</w:t>
            </w:r>
            <w:r w:rsidR="007B7527">
              <w:t>15</w:t>
            </w:r>
            <w:r w:rsidR="003A34AE">
              <w:t>.</w:t>
            </w:r>
            <w:r w:rsidR="007B7527">
              <w:t>2</w:t>
            </w:r>
            <w:r w:rsidR="003A34AE">
              <w:t>.</w:t>
            </w:r>
            <w:r w:rsidR="007B7527">
              <w:t>4</w:t>
            </w:r>
            <w:r>
              <w:t>)</w:t>
            </w:r>
          </w:p>
        </w:tc>
      </w:tr>
      <w:tr w:rsidR="000348ED" w:rsidRPr="004008D0" w14:paraId="3BCC8CC0" w14:textId="77777777" w:rsidTr="00050DA7">
        <w:tc>
          <w:tcPr>
            <w:tcW w:w="4428" w:type="dxa"/>
          </w:tcPr>
          <w:p w14:paraId="1BBD2A33" w14:textId="589F69DC" w:rsidR="000348ED" w:rsidRPr="00AA2626" w:rsidRDefault="005D05AC" w:rsidP="002B0236">
            <w:r w:rsidRPr="00AA2626">
              <w:t>To:</w:t>
            </w:r>
            <w:r w:rsidRPr="00AA2626">
              <w:tab/>
            </w:r>
            <w:r w:rsidR="00513793">
              <w:t>Policy Advisory Panel (PAP)</w:t>
            </w:r>
          </w:p>
        </w:tc>
        <w:tc>
          <w:tcPr>
            <w:tcW w:w="5461" w:type="dxa"/>
          </w:tcPr>
          <w:p w14:paraId="4308986E" w14:textId="72E27630" w:rsidR="000348ED" w:rsidRPr="004008D0" w:rsidRDefault="00513793" w:rsidP="008F4DC3">
            <w:pPr>
              <w:jc w:val="right"/>
            </w:pPr>
            <w:r>
              <w:t>03</w:t>
            </w:r>
            <w:r w:rsidR="00AC1F4D" w:rsidRPr="004008D0">
              <w:t xml:space="preserve"> </w:t>
            </w:r>
            <w:r>
              <w:t>October</w:t>
            </w:r>
            <w:r w:rsidR="00AC1F4D" w:rsidRPr="004008D0">
              <w:t xml:space="preserve"> 2025</w:t>
            </w:r>
          </w:p>
        </w:tc>
      </w:tr>
    </w:tbl>
    <w:p w14:paraId="314084F5" w14:textId="77777777" w:rsidR="000348ED" w:rsidRPr="00AA2626" w:rsidRDefault="00AA2626" w:rsidP="002B0236">
      <w:pPr>
        <w:pStyle w:val="Title"/>
      </w:pPr>
      <w:r>
        <w:t>LIAISON NOTE</w:t>
      </w:r>
    </w:p>
    <w:p w14:paraId="1339715D" w14:textId="7D9E1714" w:rsidR="000348ED" w:rsidRPr="00AA2626" w:rsidRDefault="00513793" w:rsidP="002B0236">
      <w:pPr>
        <w:pStyle w:val="Title"/>
      </w:pPr>
      <w:r>
        <w:t>Establishment of an Operational Instance of the Maritime Connectivity Platform under IALA Custodianship</w:t>
      </w:r>
    </w:p>
    <w:p w14:paraId="1DBEC5C5" w14:textId="77777777" w:rsidR="0064435F" w:rsidRPr="00AA2626" w:rsidRDefault="008E7A45" w:rsidP="002B0236">
      <w:pPr>
        <w:pStyle w:val="Heading1"/>
      </w:pPr>
      <w:r w:rsidRPr="00AA2626">
        <w:t>INTRODUCTION</w:t>
      </w:r>
    </w:p>
    <w:p w14:paraId="2B37DE1F" w14:textId="50FBF7C3" w:rsidR="00ED7B3A" w:rsidRDefault="00ED7B3A" w:rsidP="00ED7B3A">
      <w:pPr>
        <w:pStyle w:val="BodyText"/>
      </w:pPr>
      <w:r>
        <w:t xml:space="preserve">At its 5th session, the DTEC Committee discussed an input paper proposing that IALA establish an operational instance of the Maritime Connectivity Platform (MCP). The MCP is a decentralised system that enables secure and reliable information exchange across the maritime sector, as defined in IALA Guidelines G1183 (Maritime Identity Registry), G1191 (Maritime Service Registry) and RTCM Standard 13900.0 (Maritime Messaging Service). </w:t>
      </w:r>
      <w:r w:rsidR="00B643E7" w:rsidRPr="00B643E7">
        <w:t>It supports a wide range of data sharing, from confidential ship-shore communications to public services like navigational warnings through multiple service providers operating collectively under the MCP framework.</w:t>
      </w:r>
    </w:p>
    <w:p w14:paraId="3BEA1259" w14:textId="49C56C3A" w:rsidR="00F6729A" w:rsidRPr="00AA2626" w:rsidRDefault="003C2CFB" w:rsidP="00ED7B3A">
      <w:pPr>
        <w:pStyle w:val="BodyText"/>
      </w:pPr>
      <w:r w:rsidRPr="003C2CFB">
        <w:t>There are many potential use cases for MCP, but its relevance has recently become more prominent in discussions at IMO on establishing a framework for delivering S-100 based data to ships in real time. In these discussions, MCP</w:t>
      </w:r>
      <w:r>
        <w:t>,</w:t>
      </w:r>
      <w:r w:rsidRPr="003C2CFB">
        <w:t xml:space="preserve"> together with</w:t>
      </w:r>
      <w:r>
        <w:t xml:space="preserve"> SECOM</w:t>
      </w:r>
      <w:r w:rsidRPr="003C2CFB">
        <w:t xml:space="preserve"> </w:t>
      </w:r>
      <w:r>
        <w:t>(</w:t>
      </w:r>
      <w:r w:rsidRPr="003C2CFB">
        <w:t>IEC 63173-</w:t>
      </w:r>
      <w:r>
        <w:t>2),</w:t>
      </w:r>
      <w:r w:rsidRPr="003C2CFB">
        <w:t xml:space="preserve"> has been referenced as an example architecture capable of meeting the goal-based requirements set out in the draft guidance </w:t>
      </w:r>
      <w:r>
        <w:t>currently under development</w:t>
      </w:r>
      <w:r w:rsidRPr="003C2CFB">
        <w:t xml:space="preserve"> by the NCSR Sub-Committee</w:t>
      </w:r>
      <w:r w:rsidR="00ED7B3A">
        <w:t>.</w:t>
      </w:r>
    </w:p>
    <w:p w14:paraId="6A9C1F19" w14:textId="2584DF63" w:rsidR="00902AA4" w:rsidRDefault="009028B1" w:rsidP="002B0236">
      <w:pPr>
        <w:pStyle w:val="Heading1"/>
      </w:pPr>
      <w:r>
        <w:t>DISCUSSION</w:t>
      </w:r>
    </w:p>
    <w:p w14:paraId="7537579F" w14:textId="33E2FA99" w:rsidR="00E77C2E" w:rsidRDefault="00E77C2E" w:rsidP="00FE26A9">
      <w:pPr>
        <w:jc w:val="both"/>
        <w:rPr>
          <w:lang w:eastAsia="de-DE"/>
        </w:rPr>
      </w:pPr>
      <w:r>
        <w:rPr>
          <w:lang w:eastAsia="de-DE"/>
        </w:rPr>
        <w:t xml:space="preserve">The idea of </w:t>
      </w:r>
      <w:r w:rsidR="001C15AC">
        <w:rPr>
          <w:lang w:eastAsia="de-DE"/>
        </w:rPr>
        <w:t>providing an operational</w:t>
      </w:r>
      <w:r>
        <w:rPr>
          <w:lang w:eastAsia="de-DE"/>
        </w:rPr>
        <w:t xml:space="preserve"> MCP</w:t>
      </w:r>
      <w:r w:rsidR="001C15AC">
        <w:rPr>
          <w:lang w:eastAsia="de-DE"/>
        </w:rPr>
        <w:t xml:space="preserve"> instance</w:t>
      </w:r>
      <w:r>
        <w:rPr>
          <w:lang w:eastAsia="de-DE"/>
        </w:rPr>
        <w:t xml:space="preserve"> serving as backend infrastructure for SECOM-based maritime services has also been explored within IHO, as reflected in papers submitted to the HSSC (HSSC17-04.4D and 04.4E). IHO</w:t>
      </w:r>
      <w:r w:rsidR="001C15AC">
        <w:rPr>
          <w:lang w:eastAsia="de-DE"/>
        </w:rPr>
        <w:t>’</w:t>
      </w:r>
      <w:r>
        <w:rPr>
          <w:lang w:eastAsia="de-DE"/>
        </w:rPr>
        <w:t>s focus</w:t>
      </w:r>
      <w:r w:rsidR="00B45A42">
        <w:rPr>
          <w:lang w:eastAsia="de-DE"/>
        </w:rPr>
        <w:t xml:space="preserve"> at this stage</w:t>
      </w:r>
      <w:r w:rsidR="001C15AC">
        <w:rPr>
          <w:lang w:eastAsia="de-DE"/>
        </w:rPr>
        <w:t>, however,</w:t>
      </w:r>
      <w:r>
        <w:rPr>
          <w:lang w:eastAsia="de-DE"/>
        </w:rPr>
        <w:t xml:space="preserve"> is largely on enabling governmental </w:t>
      </w:r>
      <w:r w:rsidR="00B45A42">
        <w:rPr>
          <w:lang w:eastAsia="de-DE"/>
        </w:rPr>
        <w:t xml:space="preserve">S-100 Phase I </w:t>
      </w:r>
      <w:r>
        <w:rPr>
          <w:lang w:eastAsia="de-DE"/>
        </w:rPr>
        <w:t>services</w:t>
      </w:r>
      <w:r w:rsidR="005A4207">
        <w:rPr>
          <w:lang w:eastAsia="de-DE"/>
        </w:rPr>
        <w:t xml:space="preserve"> (specifically S-124 and S-129)</w:t>
      </w:r>
      <w:r>
        <w:rPr>
          <w:lang w:eastAsia="de-DE"/>
        </w:rPr>
        <w:t xml:space="preserve"> and ensuring SECOM integration into ECDIS. While that represents an important application, it does not cover the full breadth of technical services being developed </w:t>
      </w:r>
      <w:r w:rsidR="000C0A6A">
        <w:rPr>
          <w:lang w:eastAsia="de-DE"/>
        </w:rPr>
        <w:t>under IALA’s remit</w:t>
      </w:r>
      <w:r>
        <w:rPr>
          <w:lang w:eastAsia="de-DE"/>
        </w:rPr>
        <w:t>.</w:t>
      </w:r>
    </w:p>
    <w:p w14:paraId="72B4652A" w14:textId="77777777" w:rsidR="00B16613" w:rsidRDefault="00B16613" w:rsidP="00FE26A9">
      <w:pPr>
        <w:jc w:val="both"/>
        <w:rPr>
          <w:lang w:eastAsia="de-DE"/>
        </w:rPr>
      </w:pPr>
    </w:p>
    <w:p w14:paraId="5AA99052" w14:textId="2A1D4219" w:rsidR="00AB1D7C" w:rsidRDefault="00E77C2E" w:rsidP="00FE26A9">
      <w:pPr>
        <w:jc w:val="both"/>
        <w:rPr>
          <w:lang w:eastAsia="de-DE"/>
        </w:rPr>
      </w:pPr>
      <w:r>
        <w:rPr>
          <w:lang w:eastAsia="de-DE"/>
        </w:rPr>
        <w:t>IALA</w:t>
      </w:r>
      <w:r w:rsidR="00B16613">
        <w:rPr>
          <w:lang w:eastAsia="de-DE"/>
        </w:rPr>
        <w:t xml:space="preserve"> members have been focus</w:t>
      </w:r>
      <w:r w:rsidR="00863F83">
        <w:rPr>
          <w:lang w:eastAsia="de-DE"/>
        </w:rPr>
        <w:t>ing on different aspects of the implementation of S-100-based digital maritime services</w:t>
      </w:r>
      <w:r>
        <w:rPr>
          <w:lang w:eastAsia="de-DE"/>
        </w:rPr>
        <w:t xml:space="preserve">. Technical specifications </w:t>
      </w:r>
      <w:r w:rsidR="00C429AA">
        <w:rPr>
          <w:lang w:eastAsia="de-DE"/>
        </w:rPr>
        <w:t>utilising</w:t>
      </w:r>
      <w:r>
        <w:rPr>
          <w:lang w:eastAsia="de-DE"/>
        </w:rPr>
        <w:t xml:space="preserve"> S-201</w:t>
      </w:r>
      <w:r w:rsidR="00C429AA">
        <w:rPr>
          <w:lang w:eastAsia="de-DE"/>
        </w:rPr>
        <w:t>/S-125</w:t>
      </w:r>
      <w:r>
        <w:rPr>
          <w:lang w:eastAsia="de-DE"/>
        </w:rPr>
        <w:t xml:space="preserve"> (AtoN Information), S-212 (Traffic Management) and S-421 (Route Exchange) represent services that fall directly under the remit of IALA committees, particularly ARM and VTS. </w:t>
      </w:r>
      <w:r w:rsidR="00AB1D7C">
        <w:rPr>
          <w:lang w:eastAsia="de-DE"/>
        </w:rPr>
        <w:t>Implementing technical services for AtoN and VTS requires an infrastructure for service delivery. IALA can support the service delivery by their members by operating an MCP instance which provides identity management for secure communication and service discovery.</w:t>
      </w:r>
    </w:p>
    <w:p w14:paraId="38067458" w14:textId="210DD125" w:rsidR="00E77C2E" w:rsidRDefault="00AB1D7C" w:rsidP="00FE26A9">
      <w:pPr>
        <w:jc w:val="both"/>
        <w:rPr>
          <w:lang w:eastAsia="de-DE"/>
        </w:rPr>
      </w:pPr>
      <w:r>
        <w:rPr>
          <w:lang w:eastAsia="de-DE"/>
        </w:rPr>
        <w:t xml:space="preserve">This would be a crucial contribution for members to implement services which are not supported by the IHO MCP instance but are in the remit of IALA. </w:t>
      </w:r>
    </w:p>
    <w:p w14:paraId="6AAA323A" w14:textId="77777777" w:rsidR="00E77C2E" w:rsidRDefault="00E77C2E" w:rsidP="00FE26A9">
      <w:pPr>
        <w:ind w:left="360"/>
        <w:jc w:val="both"/>
        <w:rPr>
          <w:lang w:eastAsia="de-DE"/>
        </w:rPr>
      </w:pPr>
    </w:p>
    <w:p w14:paraId="1E55C83E" w14:textId="31E16722" w:rsidR="00E77C2E" w:rsidRDefault="00E77C2E" w:rsidP="00FE26A9">
      <w:pPr>
        <w:jc w:val="both"/>
        <w:rPr>
          <w:lang w:eastAsia="de-DE"/>
        </w:rPr>
      </w:pPr>
      <w:r>
        <w:rPr>
          <w:lang w:eastAsia="de-DE"/>
        </w:rPr>
        <w:t>In addition to its role in supporting SECOM-related services, the MCP also has potential to underpin secure data exchange using the VHF Data Exchange System (VDES). IALA</w:t>
      </w:r>
      <w:r w:rsidR="00872F2A">
        <w:rPr>
          <w:lang w:eastAsia="de-DE"/>
        </w:rPr>
        <w:t>’</w:t>
      </w:r>
      <w:r>
        <w:rPr>
          <w:lang w:eastAsia="de-DE"/>
        </w:rPr>
        <w:t xml:space="preserve">s recently adopted Guideline G1192 highlights the requirement for a global maritime Public Key Infrastructure (PKI), and this could be fulfilled by the MIR component of an operational MCP instance. By acting as a recognised PKI provider, IALA could deliver the root </w:t>
      </w:r>
      <w:r>
        <w:rPr>
          <w:lang w:eastAsia="de-DE"/>
        </w:rPr>
        <w:lastRenderedPageBreak/>
        <w:t>trust services needed for VDES and related systems, while also supporting national instances of the MCP should member states wish to develop their own.</w:t>
      </w:r>
    </w:p>
    <w:p w14:paraId="5BEFBEF3" w14:textId="77777777" w:rsidR="00E77C2E" w:rsidRDefault="00E77C2E" w:rsidP="00FE26A9">
      <w:pPr>
        <w:ind w:left="360"/>
        <w:jc w:val="both"/>
        <w:rPr>
          <w:lang w:eastAsia="de-DE"/>
        </w:rPr>
      </w:pPr>
    </w:p>
    <w:p w14:paraId="177D549C" w14:textId="68B743CC" w:rsidR="00E77C2E" w:rsidRDefault="00E77C2E" w:rsidP="00FE26A9">
      <w:pPr>
        <w:jc w:val="both"/>
        <w:rPr>
          <w:lang w:eastAsia="de-DE"/>
        </w:rPr>
      </w:pPr>
      <w:r>
        <w:rPr>
          <w:lang w:eastAsia="de-DE"/>
        </w:rPr>
        <w:t xml:space="preserve">Another important dimension concerns the governance of official maritime data services. Within IHO, discussions have focused on establishing mechanisms for validating the authenticity of official providers of S-100 hydrographic services. If this approach is adopted, services would be listed in </w:t>
      </w:r>
      <w:r w:rsidR="00EE3883">
        <w:rPr>
          <w:lang w:eastAsia="de-DE"/>
        </w:rPr>
        <w:t xml:space="preserve">IHO’s service </w:t>
      </w:r>
      <w:r>
        <w:rPr>
          <w:lang w:eastAsia="de-DE"/>
        </w:rPr>
        <w:t xml:space="preserve">registry to provide end-users with confidence that they are trustworthy and compliant. </w:t>
      </w:r>
      <w:r w:rsidR="00F13579">
        <w:rPr>
          <w:lang w:eastAsia="de-DE"/>
        </w:rPr>
        <w:t>S</w:t>
      </w:r>
      <w:r>
        <w:rPr>
          <w:lang w:eastAsia="de-DE"/>
        </w:rPr>
        <w:t>imilar need</w:t>
      </w:r>
      <w:r w:rsidR="00F13579">
        <w:rPr>
          <w:lang w:eastAsia="de-DE"/>
        </w:rPr>
        <w:t>s</w:t>
      </w:r>
      <w:r>
        <w:rPr>
          <w:lang w:eastAsia="de-DE"/>
        </w:rPr>
        <w:t xml:space="preserve"> exist within IALA</w:t>
      </w:r>
      <w:r w:rsidR="00CC1C8F">
        <w:rPr>
          <w:lang w:eastAsia="de-DE"/>
        </w:rPr>
        <w:t>’</w:t>
      </w:r>
      <w:r>
        <w:rPr>
          <w:lang w:eastAsia="de-DE"/>
        </w:rPr>
        <w:t>s domains of VTS and AtoN</w:t>
      </w:r>
      <w:r w:rsidR="0000199A">
        <w:rPr>
          <w:lang w:eastAsia="de-DE"/>
        </w:rPr>
        <w:t>. T</w:t>
      </w:r>
      <w:r>
        <w:rPr>
          <w:lang w:eastAsia="de-DE"/>
        </w:rPr>
        <w:t>he question arises whether IHO should hold authority to validate such services, or whether it would be more appropriate for IALA, as the responsible international body, to act as the global authority for registering and validating VTS and AtoN digital services</w:t>
      </w:r>
      <w:r w:rsidR="0000199A">
        <w:rPr>
          <w:lang w:eastAsia="de-DE"/>
        </w:rPr>
        <w:t xml:space="preserve"> through its own instance of the MCP</w:t>
      </w:r>
      <w:r>
        <w:rPr>
          <w:lang w:eastAsia="de-DE"/>
        </w:rPr>
        <w:t>. Establishing an operational MCP instance under IALA would give member states a trusted framework through which official national services could be registered and verified.</w:t>
      </w:r>
    </w:p>
    <w:p w14:paraId="3E23A077" w14:textId="77777777" w:rsidR="00E77C2E" w:rsidRDefault="00E77C2E" w:rsidP="00FE26A9">
      <w:pPr>
        <w:ind w:left="360"/>
        <w:jc w:val="both"/>
        <w:rPr>
          <w:lang w:eastAsia="de-DE"/>
        </w:rPr>
      </w:pPr>
    </w:p>
    <w:p w14:paraId="77CFCD1E" w14:textId="4657AC32" w:rsidR="00E77C2E" w:rsidRDefault="00E77C2E" w:rsidP="00FE26A9">
      <w:pPr>
        <w:jc w:val="both"/>
        <w:rPr>
          <w:lang w:eastAsia="de-DE"/>
        </w:rPr>
      </w:pPr>
      <w:r>
        <w:rPr>
          <w:lang w:eastAsia="de-DE"/>
        </w:rPr>
        <w:t xml:space="preserve">An MCP instance operated by IALA </w:t>
      </w:r>
      <w:r w:rsidR="00DC5307">
        <w:rPr>
          <w:lang w:eastAsia="de-DE"/>
        </w:rPr>
        <w:t>c</w:t>
      </w:r>
      <w:r>
        <w:rPr>
          <w:lang w:eastAsia="de-DE"/>
        </w:rPr>
        <w:t xml:space="preserve">ould allow only those services that have passed compliance testing to be registered. This would provide additional confidence to members that services meet the technical specifications agreed within IALA. The MCP infrastructure would include a Root Certification Authority, which could serve as </w:t>
      </w:r>
      <w:r w:rsidR="009D4EC7">
        <w:rPr>
          <w:lang w:eastAsia="de-DE"/>
        </w:rPr>
        <w:t>a</w:t>
      </w:r>
      <w:r>
        <w:rPr>
          <w:lang w:eastAsia="de-DE"/>
        </w:rPr>
        <w:t xml:space="preserve"> trust anchor, and an intermediate CA, which would allow IALA to issue digital identities directly to end-users, service providers or onboard equipment. This layered trust model would ensure that </w:t>
      </w:r>
      <w:r w:rsidR="009D4EC7">
        <w:rPr>
          <w:lang w:eastAsia="de-DE"/>
        </w:rPr>
        <w:t>other</w:t>
      </w:r>
      <w:r>
        <w:rPr>
          <w:lang w:eastAsia="de-DE"/>
        </w:rPr>
        <w:t xml:space="preserve"> MCP instances could be recognised and aligned with a global framework, while also allowing IALA to serve users directly where appropriate.</w:t>
      </w:r>
    </w:p>
    <w:p w14:paraId="79FCFA92" w14:textId="77777777" w:rsidR="00E77C2E" w:rsidRDefault="00E77C2E" w:rsidP="00FE26A9">
      <w:pPr>
        <w:ind w:left="360"/>
        <w:jc w:val="both"/>
        <w:rPr>
          <w:lang w:eastAsia="de-DE"/>
        </w:rPr>
      </w:pPr>
    </w:p>
    <w:p w14:paraId="5A84565F" w14:textId="230639B4" w:rsidR="00B70B84" w:rsidRPr="00B70B84" w:rsidRDefault="00E77C2E" w:rsidP="009D4EC7">
      <w:pPr>
        <w:rPr>
          <w:lang w:val="en-US" w:eastAsia="de-DE"/>
        </w:rPr>
      </w:pPr>
      <w:r>
        <w:rPr>
          <w:lang w:eastAsia="de-DE"/>
        </w:rPr>
        <w:t xml:space="preserve">Finally, there is the knowledge and capacity-building dimension. By operating its own MCP instance, IALA would gain practical expertise in managing digital maritime services. This experience could then be used to support members who wish to establish instances, effectively allowing IALA to act as an incubator for new service development. Over time, this would strengthen IALA’s ability to support digital transformation across </w:t>
      </w:r>
      <w:proofErr w:type="gramStart"/>
      <w:r>
        <w:rPr>
          <w:lang w:eastAsia="de-DE"/>
        </w:rPr>
        <w:t>all of</w:t>
      </w:r>
      <w:proofErr w:type="gramEnd"/>
      <w:r>
        <w:rPr>
          <w:lang w:eastAsia="de-DE"/>
        </w:rPr>
        <w:t xml:space="preserve"> its domains, while providing members with tested models for implementation.</w:t>
      </w:r>
    </w:p>
    <w:p w14:paraId="67AFC49E" w14:textId="3FD0C059" w:rsidR="00327492" w:rsidRDefault="00327492" w:rsidP="00327492">
      <w:pPr>
        <w:pStyle w:val="Heading1"/>
      </w:pPr>
      <w:r>
        <w:t>Feasibility study</w:t>
      </w:r>
    </w:p>
    <w:p w14:paraId="19E1CD92" w14:textId="2864E574" w:rsidR="0068252D" w:rsidRDefault="0068252D" w:rsidP="0068252D">
      <w:pPr>
        <w:rPr>
          <w:lang w:eastAsia="de-DE"/>
        </w:rPr>
      </w:pPr>
      <w:r>
        <w:rPr>
          <w:lang w:eastAsia="de-DE"/>
        </w:rPr>
        <w:t xml:space="preserve">DTEC, </w:t>
      </w:r>
      <w:r w:rsidR="00A74164">
        <w:rPr>
          <w:lang w:eastAsia="de-DE"/>
        </w:rPr>
        <w:t>having consulted also with</w:t>
      </w:r>
      <w:r>
        <w:rPr>
          <w:lang w:eastAsia="de-DE"/>
        </w:rPr>
        <w:t xml:space="preserve"> the IALA Secretariat, concluded that establishing an MCP instance would bring clear benefits, but also significant challenges. The following areas require further evaluation before a decision </w:t>
      </w:r>
      <w:r w:rsidR="00F13579">
        <w:rPr>
          <w:lang w:eastAsia="de-DE"/>
        </w:rPr>
        <w:t xml:space="preserve">by council to operate an MCP Instance </w:t>
      </w:r>
      <w:r>
        <w:rPr>
          <w:lang w:eastAsia="de-DE"/>
        </w:rPr>
        <w:t>can be made:</w:t>
      </w:r>
    </w:p>
    <w:p w14:paraId="06981A68" w14:textId="77777777" w:rsidR="0068252D" w:rsidRDefault="0068252D" w:rsidP="0068252D">
      <w:pPr>
        <w:rPr>
          <w:lang w:eastAsia="de-DE"/>
        </w:rPr>
      </w:pPr>
    </w:p>
    <w:p w14:paraId="1439BC62" w14:textId="2E892BE3" w:rsidR="0068252D" w:rsidRDefault="0068252D" w:rsidP="0068252D">
      <w:pPr>
        <w:pStyle w:val="ListParagraph"/>
        <w:numPr>
          <w:ilvl w:val="0"/>
          <w:numId w:val="28"/>
        </w:numPr>
        <w:rPr>
          <w:lang w:eastAsia="de-DE"/>
        </w:rPr>
      </w:pPr>
      <w:r>
        <w:rPr>
          <w:lang w:eastAsia="de-DE"/>
        </w:rPr>
        <w:t>Liability – Operating an MCP instance exposes IALA to liabilities. Options such as creating a subsidiary should be considered.</w:t>
      </w:r>
    </w:p>
    <w:p w14:paraId="05FCC2B6" w14:textId="77777777" w:rsidR="0068252D" w:rsidRDefault="0068252D" w:rsidP="0068252D">
      <w:pPr>
        <w:rPr>
          <w:lang w:eastAsia="de-DE"/>
        </w:rPr>
      </w:pPr>
    </w:p>
    <w:p w14:paraId="4CC6820E" w14:textId="77777777" w:rsidR="0068252D" w:rsidRDefault="0068252D" w:rsidP="0068252D">
      <w:pPr>
        <w:pStyle w:val="ListParagraph"/>
        <w:numPr>
          <w:ilvl w:val="0"/>
          <w:numId w:val="28"/>
        </w:numPr>
        <w:rPr>
          <w:lang w:eastAsia="de-DE"/>
        </w:rPr>
      </w:pPr>
      <w:r>
        <w:rPr>
          <w:lang w:eastAsia="de-DE"/>
        </w:rPr>
        <w:t>Operational Model – Running the MCP would require 24/7 high-availability services, user support, validation processes, and compliance with data protection and privacy requirements.</w:t>
      </w:r>
    </w:p>
    <w:p w14:paraId="767826ED" w14:textId="77777777" w:rsidR="0068252D" w:rsidRDefault="0068252D" w:rsidP="0068252D">
      <w:pPr>
        <w:rPr>
          <w:lang w:eastAsia="de-DE"/>
        </w:rPr>
      </w:pPr>
    </w:p>
    <w:p w14:paraId="7A7A5C1D" w14:textId="662AFFE6" w:rsidR="0068252D" w:rsidRDefault="0068252D" w:rsidP="0068252D">
      <w:pPr>
        <w:pStyle w:val="ListParagraph"/>
        <w:numPr>
          <w:ilvl w:val="0"/>
          <w:numId w:val="28"/>
        </w:numPr>
        <w:rPr>
          <w:lang w:eastAsia="de-DE"/>
        </w:rPr>
      </w:pPr>
      <w:r>
        <w:rPr>
          <w:lang w:eastAsia="de-DE"/>
        </w:rPr>
        <w:t xml:space="preserve">Financial/Business Model – Costs will be </w:t>
      </w:r>
      <w:r w:rsidR="00C025A3">
        <w:rPr>
          <w:lang w:eastAsia="de-DE"/>
        </w:rPr>
        <w:t xml:space="preserve">a </w:t>
      </w:r>
      <w:r>
        <w:rPr>
          <w:lang w:eastAsia="de-DE"/>
        </w:rPr>
        <w:t>significant</w:t>
      </w:r>
      <w:r w:rsidR="00C025A3">
        <w:rPr>
          <w:lang w:eastAsia="de-DE"/>
        </w:rPr>
        <w:t xml:space="preserve"> factor</w:t>
      </w:r>
      <w:r>
        <w:rPr>
          <w:lang w:eastAsia="de-DE"/>
        </w:rPr>
        <w:t xml:space="preserve">. For comparison, IHO estimated 1.5 FTE for its MCP operations. IALA </w:t>
      </w:r>
      <w:r w:rsidR="00C025A3">
        <w:rPr>
          <w:lang w:eastAsia="de-DE"/>
        </w:rPr>
        <w:t xml:space="preserve">likely </w:t>
      </w:r>
      <w:r>
        <w:rPr>
          <w:lang w:eastAsia="de-DE"/>
        </w:rPr>
        <w:t>cannot fund this via membership fees and would need a dedicated business model (e.g. subscriptions or cost-recovery schemes).</w:t>
      </w:r>
    </w:p>
    <w:p w14:paraId="432CB4DA" w14:textId="77777777" w:rsidR="0068252D" w:rsidRDefault="0068252D" w:rsidP="0068252D">
      <w:pPr>
        <w:rPr>
          <w:lang w:eastAsia="de-DE"/>
        </w:rPr>
      </w:pPr>
    </w:p>
    <w:p w14:paraId="2522F3D3" w14:textId="77777777" w:rsidR="0068252D" w:rsidRDefault="0068252D" w:rsidP="0068252D">
      <w:pPr>
        <w:pStyle w:val="ListParagraph"/>
        <w:numPr>
          <w:ilvl w:val="0"/>
          <w:numId w:val="28"/>
        </w:numPr>
        <w:rPr>
          <w:lang w:eastAsia="de-DE"/>
        </w:rPr>
      </w:pPr>
      <w:r>
        <w:rPr>
          <w:lang w:eastAsia="de-DE"/>
        </w:rPr>
        <w:t>Collaboration with IHO – Should IHO establish its own MCP instance, coordination will be essential to avoid duplication or unclear responsibilities.</w:t>
      </w:r>
    </w:p>
    <w:p w14:paraId="48F0BD51" w14:textId="77777777" w:rsidR="0068252D" w:rsidRDefault="0068252D" w:rsidP="0068252D">
      <w:pPr>
        <w:rPr>
          <w:lang w:eastAsia="de-DE"/>
        </w:rPr>
      </w:pPr>
    </w:p>
    <w:p w14:paraId="5EB658C0" w14:textId="5CFDC7AE" w:rsidR="00DD08DA" w:rsidRDefault="0068252D" w:rsidP="0068252D">
      <w:pPr>
        <w:rPr>
          <w:lang w:eastAsia="de-DE"/>
        </w:rPr>
      </w:pPr>
      <w:r>
        <w:rPr>
          <w:lang w:eastAsia="de-DE"/>
        </w:rPr>
        <w:lastRenderedPageBreak/>
        <w:t>Given these considerations, a comprehensive feasibility study is needed</w:t>
      </w:r>
      <w:r w:rsidR="00DD08DA">
        <w:rPr>
          <w:lang w:eastAsia="de-DE"/>
        </w:rPr>
        <w:t>. A DTEC task group will conduct such a study to prepare a qualified proposal from DTEC to Council on operating an MCP Instance by IALA.</w:t>
      </w:r>
    </w:p>
    <w:p w14:paraId="3DE6D610" w14:textId="77777777" w:rsidR="00DD08DA" w:rsidRDefault="00DD08DA" w:rsidP="0068252D">
      <w:pPr>
        <w:rPr>
          <w:lang w:eastAsia="de-DE"/>
        </w:rPr>
      </w:pPr>
    </w:p>
    <w:p w14:paraId="03D99B29" w14:textId="08F718CB" w:rsidR="00B70B84" w:rsidRPr="00B70B84" w:rsidRDefault="00DD08DA" w:rsidP="0068252D">
      <w:pPr>
        <w:rPr>
          <w:lang w:val="en-US" w:eastAsia="de-DE"/>
        </w:rPr>
      </w:pPr>
      <w:r>
        <w:rPr>
          <w:lang w:eastAsia="de-DE"/>
        </w:rPr>
        <w:t>A</w:t>
      </w:r>
      <w:r w:rsidR="0068252D">
        <w:rPr>
          <w:lang w:eastAsia="de-DE"/>
        </w:rPr>
        <w:t xml:space="preserve"> liaison note has also been sent to the VTS, ARM and ENG Committees (see DTEC5 report for details).</w:t>
      </w:r>
    </w:p>
    <w:p w14:paraId="297E7733" w14:textId="77777777" w:rsidR="009F5C36" w:rsidRPr="00AA2626" w:rsidRDefault="008E7A45" w:rsidP="002B0236">
      <w:pPr>
        <w:pStyle w:val="Heading1"/>
      </w:pPr>
      <w:r w:rsidRPr="00AA2626">
        <w:t>ACTION REQUESTED</w:t>
      </w:r>
    </w:p>
    <w:p w14:paraId="1146876A" w14:textId="77777777" w:rsidR="00280B6C" w:rsidRPr="00280B6C" w:rsidRDefault="00280B6C" w:rsidP="00280B6C">
      <w:pPr>
        <w:pStyle w:val="List1"/>
        <w:numPr>
          <w:ilvl w:val="0"/>
          <w:numId w:val="0"/>
        </w:numPr>
        <w:rPr>
          <w:rFonts w:eastAsia="Calibri" w:cs="Calibri"/>
          <w:szCs w:val="22"/>
          <w:lang w:val="en-GB"/>
        </w:rPr>
      </w:pPr>
      <w:r w:rsidRPr="00280B6C">
        <w:rPr>
          <w:rFonts w:eastAsia="Calibri" w:cs="Calibri"/>
          <w:szCs w:val="22"/>
          <w:lang w:val="en-GB"/>
        </w:rPr>
        <w:t>PAP is invited to:</w:t>
      </w:r>
    </w:p>
    <w:p w14:paraId="0F6FC1B2" w14:textId="77777777" w:rsidR="00280B6C" w:rsidRPr="00280B6C" w:rsidRDefault="00280B6C" w:rsidP="00280B6C">
      <w:pPr>
        <w:pStyle w:val="List1"/>
        <w:rPr>
          <w:rFonts w:eastAsia="Calibri" w:cs="Calibri"/>
          <w:szCs w:val="22"/>
          <w:lang w:val="en-GB"/>
        </w:rPr>
      </w:pPr>
      <w:r w:rsidRPr="00280B6C">
        <w:rPr>
          <w:rFonts w:eastAsia="Calibri" w:cs="Calibri"/>
          <w:szCs w:val="22"/>
          <w:lang w:val="en-GB"/>
        </w:rPr>
        <w:t>Note the information provided.</w:t>
      </w:r>
    </w:p>
    <w:p w14:paraId="49EC0E5C" w14:textId="77777777" w:rsidR="00585394" w:rsidRDefault="00280B6C" w:rsidP="00585394">
      <w:pPr>
        <w:pStyle w:val="List1"/>
        <w:rPr>
          <w:rFonts w:eastAsia="Calibri" w:cs="Calibri"/>
          <w:szCs w:val="22"/>
          <w:lang w:val="en-GB"/>
        </w:rPr>
      </w:pPr>
      <w:r w:rsidRPr="00280B6C">
        <w:rPr>
          <w:rFonts w:eastAsia="Calibri" w:cs="Calibri"/>
          <w:szCs w:val="22"/>
          <w:lang w:val="en-GB"/>
        </w:rPr>
        <w:t>Identify additional questions that should be addressed in the feasibility study.</w:t>
      </w:r>
    </w:p>
    <w:p w14:paraId="6F4C21FD" w14:textId="5D6D6C99" w:rsidR="00724A4A" w:rsidRDefault="00280B6C" w:rsidP="00585394">
      <w:pPr>
        <w:pStyle w:val="List1"/>
        <w:rPr>
          <w:rFonts w:eastAsia="Calibri" w:cs="Calibri"/>
          <w:szCs w:val="22"/>
          <w:lang w:val="en-GB"/>
        </w:rPr>
      </w:pPr>
      <w:r w:rsidRPr="00585394">
        <w:rPr>
          <w:rFonts w:eastAsia="Calibri" w:cs="Calibri"/>
          <w:szCs w:val="22"/>
          <w:lang w:val="en-GB"/>
        </w:rPr>
        <w:t>Liaise with Council on this matter, as appropriate.</w:t>
      </w:r>
    </w:p>
    <w:p w14:paraId="5DCE3F17" w14:textId="72E639BD" w:rsidR="00726A9D" w:rsidRPr="00585394" w:rsidRDefault="00DD08DA" w:rsidP="00585394">
      <w:pPr>
        <w:pStyle w:val="List1"/>
        <w:rPr>
          <w:rFonts w:eastAsia="Calibri" w:cs="Calibri"/>
          <w:szCs w:val="22"/>
          <w:lang w:val="en-GB"/>
        </w:rPr>
      </w:pPr>
      <w:r>
        <w:rPr>
          <w:rFonts w:eastAsia="Calibri" w:cs="Calibri"/>
          <w:szCs w:val="22"/>
          <w:lang w:val="en-GB"/>
        </w:rPr>
        <w:t>Share the outcome</w:t>
      </w:r>
      <w:r w:rsidR="00726A9D">
        <w:rPr>
          <w:rFonts w:eastAsia="Calibri" w:cs="Calibri"/>
          <w:szCs w:val="22"/>
          <w:lang w:val="en-GB"/>
        </w:rPr>
        <w:t xml:space="preserve"> of </w:t>
      </w:r>
      <w:r>
        <w:rPr>
          <w:rFonts w:eastAsia="Calibri" w:cs="Calibri"/>
          <w:szCs w:val="22"/>
          <w:lang w:val="en-GB"/>
        </w:rPr>
        <w:t>the d</w:t>
      </w:r>
      <w:r w:rsidR="00726A9D">
        <w:rPr>
          <w:rFonts w:eastAsia="Calibri" w:cs="Calibri"/>
          <w:szCs w:val="22"/>
          <w:lang w:val="en-GB"/>
        </w:rPr>
        <w:t xml:space="preserve">iscussions </w:t>
      </w:r>
      <w:r>
        <w:rPr>
          <w:rFonts w:eastAsia="Calibri" w:cs="Calibri"/>
          <w:szCs w:val="22"/>
          <w:lang w:val="en-GB"/>
        </w:rPr>
        <w:t>with</w:t>
      </w:r>
      <w:r w:rsidR="00726A9D">
        <w:rPr>
          <w:rFonts w:eastAsia="Calibri" w:cs="Calibri"/>
          <w:szCs w:val="22"/>
          <w:lang w:val="en-GB"/>
        </w:rPr>
        <w:t xml:space="preserve"> DTE</w:t>
      </w:r>
      <w:r>
        <w:rPr>
          <w:rFonts w:eastAsia="Calibri" w:cs="Calibri"/>
          <w:szCs w:val="22"/>
          <w:lang w:val="en-GB"/>
        </w:rPr>
        <w:t>C</w:t>
      </w:r>
      <w:r w:rsidR="00726A9D">
        <w:rPr>
          <w:rFonts w:eastAsia="Calibri" w:cs="Calibri"/>
          <w:szCs w:val="22"/>
          <w:lang w:val="en-GB"/>
        </w:rPr>
        <w:t>.</w:t>
      </w:r>
    </w:p>
    <w:p w14:paraId="58F92B75" w14:textId="77777777" w:rsidR="00897004" w:rsidRPr="00897004" w:rsidRDefault="00897004" w:rsidP="00C678EB">
      <w:pPr>
        <w:pStyle w:val="List1"/>
        <w:numPr>
          <w:ilvl w:val="0"/>
          <w:numId w:val="0"/>
        </w:numPr>
        <w:rPr>
          <w:lang w:val="en-GB"/>
        </w:rPr>
      </w:pPr>
    </w:p>
    <w:sectPr w:rsidR="00897004" w:rsidRPr="00897004" w:rsidSect="005D05AC">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B0AC6" w14:textId="77777777" w:rsidR="00FF1962" w:rsidRDefault="00FF1962" w:rsidP="002B0236">
      <w:r>
        <w:separator/>
      </w:r>
    </w:p>
  </w:endnote>
  <w:endnote w:type="continuationSeparator" w:id="0">
    <w:p w14:paraId="53713150" w14:textId="77777777" w:rsidR="00FF1962" w:rsidRDefault="00FF1962"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E69D" w14:textId="77777777" w:rsidR="008E7A45" w:rsidRDefault="008E7A45" w:rsidP="002B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66E7" w14:textId="77777777" w:rsidR="00002906" w:rsidRDefault="00002906" w:rsidP="002B0236">
    <w:pPr>
      <w:pStyle w:val="Footer"/>
    </w:pPr>
    <w:r>
      <w:tab/>
    </w:r>
    <w:r>
      <w:fldChar w:fldCharType="begin"/>
    </w:r>
    <w:r>
      <w:instrText xml:space="preserve"> PAGE   \* MERGEFORMAT </w:instrText>
    </w:r>
    <w:r>
      <w:fldChar w:fldCharType="separate"/>
    </w:r>
    <w:r w:rsidR="008F4DC3">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0472" w14:textId="77777777" w:rsidR="008E7A45" w:rsidRDefault="008E7A45" w:rsidP="002B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95670" w14:textId="77777777" w:rsidR="00FF1962" w:rsidRDefault="00FF1962" w:rsidP="002B0236">
      <w:r>
        <w:separator/>
      </w:r>
    </w:p>
  </w:footnote>
  <w:footnote w:type="continuationSeparator" w:id="0">
    <w:p w14:paraId="683FF141" w14:textId="77777777" w:rsidR="00FF1962" w:rsidRDefault="00FF1962" w:rsidP="002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5EA29" w14:textId="39A4A307" w:rsidR="008E7A45" w:rsidRDefault="008E7A45" w:rsidP="002B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A4E1" w14:textId="09E5EDF7" w:rsidR="008E7A45" w:rsidRDefault="007E005C" w:rsidP="002B0236">
    <w:pPr>
      <w:pStyle w:val="Header"/>
    </w:pPr>
    <w:r>
      <w:rPr>
        <w:noProof/>
      </w:rPr>
      <w:drawing>
        <wp:inline distT="0" distB="0" distL="0" distR="0" wp14:anchorId="30661779" wp14:editId="27768C02">
          <wp:extent cx="853440" cy="815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153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44BE8" w14:textId="6B8A7482" w:rsidR="008E7A45" w:rsidRDefault="008E7A45" w:rsidP="002B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4E80"/>
    <w:multiLevelType w:val="hybridMultilevel"/>
    <w:tmpl w:val="7FEE70BA"/>
    <w:lvl w:ilvl="0" w:tplc="24FA039A">
      <w:numFmt w:val="bullet"/>
      <w:lvlText w:val="-"/>
      <w:lvlJc w:val="left"/>
      <w:pPr>
        <w:ind w:left="720" w:hanging="360"/>
      </w:pPr>
      <w:rPr>
        <w:rFonts w:ascii="Calibri" w:eastAsia="Gulim"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2" w15:restartNumberingAfterBreak="0">
    <w:nsid w:val="0BAA23A1"/>
    <w:multiLevelType w:val="hybridMultilevel"/>
    <w:tmpl w:val="4588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DA7"/>
    <w:multiLevelType w:val="hybridMultilevel"/>
    <w:tmpl w:val="F25435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7"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FA92AAE"/>
    <w:multiLevelType w:val="hybridMultilevel"/>
    <w:tmpl w:val="970C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A7EE0"/>
    <w:multiLevelType w:val="hybridMultilevel"/>
    <w:tmpl w:val="4EA229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6"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7"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85440835">
    <w:abstractNumId w:val="13"/>
  </w:num>
  <w:num w:numId="2" w16cid:durableId="929503006">
    <w:abstractNumId w:val="18"/>
  </w:num>
  <w:num w:numId="3" w16cid:durableId="1771195857">
    <w:abstractNumId w:val="13"/>
  </w:num>
  <w:num w:numId="4" w16cid:durableId="666516922">
    <w:abstractNumId w:val="13"/>
  </w:num>
  <w:num w:numId="5" w16cid:durableId="17053266">
    <w:abstractNumId w:val="7"/>
  </w:num>
  <w:num w:numId="6" w16cid:durableId="398555423">
    <w:abstractNumId w:val="14"/>
  </w:num>
  <w:num w:numId="7" w16cid:durableId="100297392">
    <w:abstractNumId w:val="11"/>
  </w:num>
  <w:num w:numId="8" w16cid:durableId="1759906585">
    <w:abstractNumId w:val="1"/>
  </w:num>
  <w:num w:numId="9" w16cid:durableId="1410157504">
    <w:abstractNumId w:val="6"/>
  </w:num>
  <w:num w:numId="10" w16cid:durableId="107820598">
    <w:abstractNumId w:val="15"/>
  </w:num>
  <w:num w:numId="11" w16cid:durableId="1731880335">
    <w:abstractNumId w:val="4"/>
  </w:num>
  <w:num w:numId="12" w16cid:durableId="872697241">
    <w:abstractNumId w:val="4"/>
  </w:num>
  <w:num w:numId="13" w16cid:durableId="715668130">
    <w:abstractNumId w:val="4"/>
  </w:num>
  <w:num w:numId="14" w16cid:durableId="728575183">
    <w:abstractNumId w:val="4"/>
  </w:num>
  <w:num w:numId="15" w16cid:durableId="296449907">
    <w:abstractNumId w:val="4"/>
  </w:num>
  <w:num w:numId="16" w16cid:durableId="1625040821">
    <w:abstractNumId w:val="8"/>
  </w:num>
  <w:num w:numId="17" w16cid:durableId="996373660">
    <w:abstractNumId w:val="17"/>
  </w:num>
  <w:num w:numId="18" w16cid:durableId="833421314">
    <w:abstractNumId w:val="5"/>
  </w:num>
  <w:num w:numId="19" w16cid:durableId="291249847">
    <w:abstractNumId w:val="16"/>
  </w:num>
  <w:num w:numId="20" w16cid:durableId="1391420416">
    <w:abstractNumId w:val="12"/>
  </w:num>
  <w:num w:numId="21" w16cid:durableId="896746978">
    <w:abstractNumId w:val="8"/>
  </w:num>
  <w:num w:numId="22" w16cid:durableId="1139498109">
    <w:abstractNumId w:val="8"/>
  </w:num>
  <w:num w:numId="23" w16cid:durableId="2073577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3256751">
    <w:abstractNumId w:val="9"/>
  </w:num>
  <w:num w:numId="25" w16cid:durableId="445544412">
    <w:abstractNumId w:val="2"/>
  </w:num>
  <w:num w:numId="26" w16cid:durableId="1692803782">
    <w:abstractNumId w:val="10"/>
  </w:num>
  <w:num w:numId="27" w16cid:durableId="1350136405">
    <w:abstractNumId w:val="0"/>
  </w:num>
  <w:num w:numId="28" w16cid:durableId="971599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45"/>
    <w:rsid w:val="0000199A"/>
    <w:rsid w:val="00002906"/>
    <w:rsid w:val="00016B21"/>
    <w:rsid w:val="00022568"/>
    <w:rsid w:val="00025725"/>
    <w:rsid w:val="00031A92"/>
    <w:rsid w:val="000348ED"/>
    <w:rsid w:val="00036801"/>
    <w:rsid w:val="00044185"/>
    <w:rsid w:val="00050DA7"/>
    <w:rsid w:val="00070608"/>
    <w:rsid w:val="0007567C"/>
    <w:rsid w:val="000A5A01"/>
    <w:rsid w:val="000B5B0C"/>
    <w:rsid w:val="000C0A6A"/>
    <w:rsid w:val="00133078"/>
    <w:rsid w:val="00135447"/>
    <w:rsid w:val="0013705F"/>
    <w:rsid w:val="00152273"/>
    <w:rsid w:val="0016027E"/>
    <w:rsid w:val="00174989"/>
    <w:rsid w:val="001A654A"/>
    <w:rsid w:val="001C15AC"/>
    <w:rsid w:val="001C74CF"/>
    <w:rsid w:val="002279AC"/>
    <w:rsid w:val="002408EB"/>
    <w:rsid w:val="00243F48"/>
    <w:rsid w:val="00280B6C"/>
    <w:rsid w:val="002B0236"/>
    <w:rsid w:val="002C200C"/>
    <w:rsid w:val="002E75EC"/>
    <w:rsid w:val="003079F1"/>
    <w:rsid w:val="00314EB7"/>
    <w:rsid w:val="00324DB6"/>
    <w:rsid w:val="00327492"/>
    <w:rsid w:val="003745CB"/>
    <w:rsid w:val="003A34AE"/>
    <w:rsid w:val="003C2CFB"/>
    <w:rsid w:val="003C5715"/>
    <w:rsid w:val="003D55DD"/>
    <w:rsid w:val="003D7320"/>
    <w:rsid w:val="003E1831"/>
    <w:rsid w:val="003E24BB"/>
    <w:rsid w:val="003F2A42"/>
    <w:rsid w:val="004008D0"/>
    <w:rsid w:val="00424954"/>
    <w:rsid w:val="00440E15"/>
    <w:rsid w:val="004561DC"/>
    <w:rsid w:val="004B216A"/>
    <w:rsid w:val="004B7DEA"/>
    <w:rsid w:val="004C1386"/>
    <w:rsid w:val="004C220D"/>
    <w:rsid w:val="004C2324"/>
    <w:rsid w:val="00507692"/>
    <w:rsid w:val="0050792F"/>
    <w:rsid w:val="00513793"/>
    <w:rsid w:val="00546E4B"/>
    <w:rsid w:val="00547687"/>
    <w:rsid w:val="00581FB6"/>
    <w:rsid w:val="00585394"/>
    <w:rsid w:val="005A4207"/>
    <w:rsid w:val="005D05AC"/>
    <w:rsid w:val="00622F70"/>
    <w:rsid w:val="006309A0"/>
    <w:rsid w:val="00630F7F"/>
    <w:rsid w:val="00640B69"/>
    <w:rsid w:val="0064435F"/>
    <w:rsid w:val="00646720"/>
    <w:rsid w:val="00651409"/>
    <w:rsid w:val="0068126B"/>
    <w:rsid w:val="0068252D"/>
    <w:rsid w:val="006B3A18"/>
    <w:rsid w:val="006B5BA5"/>
    <w:rsid w:val="006D470F"/>
    <w:rsid w:val="00724A4A"/>
    <w:rsid w:val="00726A9D"/>
    <w:rsid w:val="00727E88"/>
    <w:rsid w:val="00743232"/>
    <w:rsid w:val="007449ED"/>
    <w:rsid w:val="00775878"/>
    <w:rsid w:val="00796D54"/>
    <w:rsid w:val="00797EDB"/>
    <w:rsid w:val="007B7527"/>
    <w:rsid w:val="007C1925"/>
    <w:rsid w:val="007C467C"/>
    <w:rsid w:val="007E005C"/>
    <w:rsid w:val="007F4092"/>
    <w:rsid w:val="0080092C"/>
    <w:rsid w:val="008450E6"/>
    <w:rsid w:val="00863F83"/>
    <w:rsid w:val="0086571B"/>
    <w:rsid w:val="00872453"/>
    <w:rsid w:val="00872F2A"/>
    <w:rsid w:val="008844C0"/>
    <w:rsid w:val="00897004"/>
    <w:rsid w:val="008C424B"/>
    <w:rsid w:val="008E7A45"/>
    <w:rsid w:val="008F13DD"/>
    <w:rsid w:val="008F4DC3"/>
    <w:rsid w:val="009028B1"/>
    <w:rsid w:val="00902AA4"/>
    <w:rsid w:val="00905829"/>
    <w:rsid w:val="00906239"/>
    <w:rsid w:val="00907D8D"/>
    <w:rsid w:val="0092770A"/>
    <w:rsid w:val="009364F6"/>
    <w:rsid w:val="00940205"/>
    <w:rsid w:val="00943021"/>
    <w:rsid w:val="00945D33"/>
    <w:rsid w:val="009D4EC7"/>
    <w:rsid w:val="009F3B6C"/>
    <w:rsid w:val="009F5C36"/>
    <w:rsid w:val="00A27F12"/>
    <w:rsid w:val="00A30579"/>
    <w:rsid w:val="00A337D0"/>
    <w:rsid w:val="00A52B66"/>
    <w:rsid w:val="00A540F2"/>
    <w:rsid w:val="00A7015A"/>
    <w:rsid w:val="00A74164"/>
    <w:rsid w:val="00AA2626"/>
    <w:rsid w:val="00AA76C0"/>
    <w:rsid w:val="00AB1D7C"/>
    <w:rsid w:val="00AC1F4D"/>
    <w:rsid w:val="00AC5FF4"/>
    <w:rsid w:val="00AC6B88"/>
    <w:rsid w:val="00AD3C44"/>
    <w:rsid w:val="00AF4618"/>
    <w:rsid w:val="00B077EC"/>
    <w:rsid w:val="00B15B24"/>
    <w:rsid w:val="00B16613"/>
    <w:rsid w:val="00B428DA"/>
    <w:rsid w:val="00B45A42"/>
    <w:rsid w:val="00B643E7"/>
    <w:rsid w:val="00B70B84"/>
    <w:rsid w:val="00B8247E"/>
    <w:rsid w:val="00BB130D"/>
    <w:rsid w:val="00BC0E97"/>
    <w:rsid w:val="00BC4ABE"/>
    <w:rsid w:val="00BE56DF"/>
    <w:rsid w:val="00BF3AC7"/>
    <w:rsid w:val="00C025A3"/>
    <w:rsid w:val="00C02838"/>
    <w:rsid w:val="00C17E88"/>
    <w:rsid w:val="00C265EE"/>
    <w:rsid w:val="00C32DC0"/>
    <w:rsid w:val="00C429AA"/>
    <w:rsid w:val="00C62584"/>
    <w:rsid w:val="00C678EB"/>
    <w:rsid w:val="00C97BF9"/>
    <w:rsid w:val="00CA04AF"/>
    <w:rsid w:val="00CC1C8F"/>
    <w:rsid w:val="00CD0C20"/>
    <w:rsid w:val="00D400A9"/>
    <w:rsid w:val="00D5217B"/>
    <w:rsid w:val="00D953EC"/>
    <w:rsid w:val="00DC5307"/>
    <w:rsid w:val="00DC67A9"/>
    <w:rsid w:val="00DD08DA"/>
    <w:rsid w:val="00E0469E"/>
    <w:rsid w:val="00E37A5D"/>
    <w:rsid w:val="00E729A7"/>
    <w:rsid w:val="00E77C2E"/>
    <w:rsid w:val="00E93C9B"/>
    <w:rsid w:val="00EA6555"/>
    <w:rsid w:val="00ED7B3A"/>
    <w:rsid w:val="00EE3883"/>
    <w:rsid w:val="00EE3F2F"/>
    <w:rsid w:val="00F06F83"/>
    <w:rsid w:val="00F13579"/>
    <w:rsid w:val="00F32E15"/>
    <w:rsid w:val="00F64D66"/>
    <w:rsid w:val="00F6729A"/>
    <w:rsid w:val="00F73F78"/>
    <w:rsid w:val="00FA5842"/>
    <w:rsid w:val="00FA6769"/>
    <w:rsid w:val="00FD03CA"/>
    <w:rsid w:val="00FE26A9"/>
    <w:rsid w:val="00FF1962"/>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5BFE8"/>
  <w15:chartTrackingRefBased/>
  <w15:docId w15:val="{0A7FF152-BE2C-4B0B-831C-239B5844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clear" w:pos="432"/>
        <w:tab w:val="left" w:pos="567"/>
      </w:tabs>
      <w:spacing w:before="240" w:after="240"/>
      <w:ind w:left="567" w:hanging="567"/>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ListParagraph">
    <w:name w:val="List Paragraph"/>
    <w:basedOn w:val="Normal"/>
    <w:uiPriority w:val="34"/>
    <w:rsid w:val="00744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771095">
      <w:bodyDiv w:val="1"/>
      <w:marLeft w:val="0"/>
      <w:marRight w:val="0"/>
      <w:marTop w:val="0"/>
      <w:marBottom w:val="0"/>
      <w:divBdr>
        <w:top w:val="none" w:sz="0" w:space="0" w:color="auto"/>
        <w:left w:val="none" w:sz="0" w:space="0" w:color="auto"/>
        <w:bottom w:val="none" w:sz="0" w:space="0" w:color="auto"/>
        <w:right w:val="none" w:sz="0" w:space="0" w:color="auto"/>
      </w:divBdr>
    </w:div>
    <w:div w:id="945580477">
      <w:bodyDiv w:val="1"/>
      <w:marLeft w:val="0"/>
      <w:marRight w:val="0"/>
      <w:marTop w:val="0"/>
      <w:marBottom w:val="0"/>
      <w:divBdr>
        <w:top w:val="none" w:sz="0" w:space="0" w:color="auto"/>
        <w:left w:val="none" w:sz="0" w:space="0" w:color="auto"/>
        <w:bottom w:val="none" w:sz="0" w:space="0" w:color="auto"/>
        <w:right w:val="none" w:sz="0" w:space="0" w:color="auto"/>
      </w:divBdr>
    </w:div>
    <w:div w:id="1068578389">
      <w:bodyDiv w:val="1"/>
      <w:marLeft w:val="0"/>
      <w:marRight w:val="0"/>
      <w:marTop w:val="0"/>
      <w:marBottom w:val="0"/>
      <w:divBdr>
        <w:top w:val="none" w:sz="0" w:space="0" w:color="auto"/>
        <w:left w:val="none" w:sz="0" w:space="0" w:color="auto"/>
        <w:bottom w:val="none" w:sz="0" w:space="0" w:color="auto"/>
        <w:right w:val="none" w:sz="0" w:space="0" w:color="auto"/>
      </w:divBdr>
    </w:div>
    <w:div w:id="204539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56345cd5d459e4f3940584481716e7b1">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ed3bed3daa67d7c6e6ce754ff02838e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7AEDA62A-8C49-4BE3-BB81-C73A183E3F6D}">
  <ds:schemaRefs>
    <ds:schemaRef ds:uri="http://schemas.microsoft.com/sharepoint/v3/contenttype/forms"/>
  </ds:schemaRefs>
</ds:datastoreItem>
</file>

<file path=customXml/itemProps2.xml><?xml version="1.0" encoding="utf-8"?>
<ds:datastoreItem xmlns:ds="http://schemas.openxmlformats.org/officeDocument/2006/customXml" ds:itemID="{AFE194D5-13EF-48F0-8CC9-6C4736AA2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32919-DB2A-4DD2-B897-147856C80BE8}">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Template>
  <TotalTime>0</TotalTime>
  <Pages>3</Pages>
  <Words>1016</Words>
  <Characters>5884</Characters>
  <Application>Microsoft Office Word</Application>
  <DocSecurity>0</DocSecurity>
  <Lines>94</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Liaison note from ANM to ANIS Working Group</vt:lpstr>
      <vt:lpstr>Liaison note from ANM to ANIS Working Group</vt:lpstr>
    </vt:vector>
  </TitlesOfParts>
  <Company>DFO-MPO</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dc:description/>
  <cp:lastModifiedBy>Tom Southall</cp:lastModifiedBy>
  <cp:revision>5</cp:revision>
  <cp:lastPrinted>2006-10-19T11:49:00Z</cp:lastPrinted>
  <dcterms:created xsi:type="dcterms:W3CDTF">2025-10-02T12:01:00Z</dcterms:created>
  <dcterms:modified xsi:type="dcterms:W3CDTF">2026-01-07T11:18:00Z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GrammarlyDocumentId">
    <vt:lpwstr>ba1037ee-d619-465c-ab67-2d093915da5b</vt:lpwstr>
  </property>
  <property fmtid="{D5CDD505-2E9C-101B-9397-08002B2CF9AE}" pid="5" name="docLang">
    <vt:lpwstr>en</vt:lpwstr>
  </property>
</Properties>
</file>